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לטקסט (רמת תיכון)</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סוגה, מטרה ומבנה בטקסט נתון ולהציג זאת בלשון מדויקת</w:t>
      </w:r>
    </w:p>
    <w:p>
      <w:pPr>
        <w:bidi/>
        <w:spacing w:after="80"/>
        <w:jc w:val="right"/>
      </w:pPr>
      <w:r>
        <w:rPr>
          <w:rFonts w:ascii="Arial" w:hAnsi="Arial" w:cs="Arial" w:eastAsia="Arial"/>
          <w:lang w:val="he-IL" w:bidi="he-IL"/>
          <w:sz w:val="22"/>
          <w:rtl/>
          <w:szCs w:val="22"/>
        </w:rPr>
        <w:t>• לנתח טענה מרכזית, ראיות ודעה נגדית בטקסט טיעוני</w:t>
      </w:r>
    </w:p>
    <w:p>
      <w:pPr>
        <w:bidi/>
        <w:spacing w:after="80"/>
        <w:jc w:val="right"/>
      </w:pPr>
      <w:r>
        <w:rPr>
          <w:rFonts w:ascii="Arial" w:hAnsi="Arial" w:cs="Arial" w:eastAsia="Arial"/>
          <w:lang w:val="he-IL" w:bidi="he-IL"/>
          <w:sz w:val="22"/>
          <w:rtl/>
          <w:szCs w:val="22"/>
        </w:rPr>
        <w:t>• להפעיל כלי חשיבה מסדר גבוה: הסקת הנחות סמויות, הערכת רלוונטיות ושאלות פתוחות</w:t>
      </w:r>
    </w:p>
    <w:p>
      <w:pPr>
        <w:bidi/>
        <w:spacing w:after="80"/>
        <w:jc w:val="right"/>
      </w:pPr>
      <w:r>
        <w:rPr>
          <w:rFonts w:ascii="Arial" w:hAnsi="Arial" w:cs="Arial" w:eastAsia="Arial"/>
          <w:lang w:val="he-IL" w:bidi="he-IL"/>
          <w:sz w:val="22"/>
          <w:rtl/>
          <w:szCs w:val="22"/>
        </w:rPr>
        <w:t>• ליישם ידע לשוני ברמת תיכון (תחביר, בניינים, גזרות, משלב) מתוך טקסט אותנטי</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הבנת הנקרא: סוגה, מטרה וסיכום ממוקד – היכרות עם הטקסט</w:t>
      </w:r>
    </w:p>
    <w:p>
      <w:pPr>
        <w:bidi/>
        <w:spacing w:after="40"/>
        <w:jc w:val="right"/>
      </w:pPr>
      <w:r>
        <w:rPr>
          <w:rFonts w:ascii="Arial" w:hAnsi="Arial" w:cs="Arial" w:eastAsia="Arial"/>
          <w:lang w:val="he-IL" w:bidi="he-IL"/>
          <w:sz w:val="22"/>
          <w:rtl/>
          <w:szCs w:val="22"/>
        </w:rPr>
        <w:t>1. נכון – הכותבת מציגה טענה מרכזית ומביאה נימוקים לטובת שמירה על השעמום</w:t>
      </w:r>
    </w:p>
    <w:p>
      <w:pPr>
        <w:bidi/>
        <w:spacing w:after="40"/>
        <w:jc w:val="right"/>
      </w:pPr>
      <w:r>
        <w:rPr>
          <w:rFonts w:ascii="Arial" w:hAnsi="Arial" w:cs="Arial" w:eastAsia="Arial"/>
          <w:lang w:val="he-IL" w:bidi="he-IL"/>
          <w:sz w:val="22"/>
          <w:rtl/>
          <w:szCs w:val="22"/>
        </w:rPr>
        <w:t>2. לא נכון – היא מציעה לשמר את השעמום ואף להחזיר אותו בכוונה, לדוגמה רבע שעה ביום</w:t>
      </w:r>
    </w:p>
    <w:p>
      <w:pPr>
        <w:bidi/>
        <w:spacing w:after="40"/>
        <w:jc w:val="right"/>
      </w:pPr>
      <w:r>
        <w:rPr>
          <w:rFonts w:ascii="Arial" w:hAnsi="Arial" w:cs="Arial" w:eastAsia="Arial"/>
          <w:lang w:val="he-IL" w:bidi="he-IL"/>
          <w:sz w:val="22"/>
          <w:rtl/>
          <w:szCs w:val="22"/>
        </w:rPr>
        <w:t>3. נכון – הכותבת כותבת שכאשר המוח אינו מקבל גירוי הוא מתחיל לשוטט ולדמיין</w:t>
      </w:r>
    </w:p>
    <w:p>
      <w:pPr>
        <w:bidi/>
        <w:pStyle w:val="Heading3"/>
        <w:spacing w:after="80"/>
        <w:jc w:val="right"/>
      </w:pPr>
      <w:r>
        <w:rPr>
          <w:rFonts w:ascii="Arial" w:hAnsi="Arial" w:cs="Arial" w:eastAsia="Arial"/>
          <w:lang w:val="he-IL" w:bidi="he-IL"/>
          <w:b/>
          <w:color w:val="DD6B20"/>
          <w:sz w:val="26"/>
          <w:rtl/>
          <w:szCs w:val="26"/>
          <w:bCs/>
        </w:rPr>
        <w:t>חלק ב׳ – פרק 1 · הבנת הנקרא: סוגה, מטרה וסיכום ממוקד – זיהוי טענות ומטרה</w:t>
      </w:r>
    </w:p>
    <w:p>
      <w:pPr>
        <w:bidi/>
        <w:spacing w:after="40"/>
        <w:jc w:val="right"/>
      </w:pPr>
      <w:r>
        <w:rPr>
          <w:rFonts w:ascii="Arial" w:hAnsi="Arial" w:cs="Arial" w:eastAsia="Arial"/>
          <w:lang w:val="he-IL" w:bidi="he-IL"/>
          <w:sz w:val="22"/>
          <w:rtl/>
          <w:szCs w:val="22"/>
        </w:rPr>
        <w:t>1. לשכנע</w:t>
      </w:r>
    </w:p>
    <w:p>
      <w:pPr>
        <w:bidi/>
        <w:spacing w:after="40"/>
        <w:jc w:val="right"/>
      </w:pPr>
      <w:r>
        <w:rPr>
          <w:rFonts w:ascii="Arial" w:hAnsi="Arial" w:cs="Arial" w:eastAsia="Arial"/>
          <w:lang w:val="he-IL" w:bidi="he-IL"/>
          <w:sz w:val="22"/>
          <w:rtl/>
          <w:szCs w:val="22"/>
        </w:rPr>
        <w:t>2. יצירה</w:t>
      </w:r>
    </w:p>
    <w:p>
      <w:pPr>
        <w:bidi/>
        <w:pStyle w:val="Heading3"/>
        <w:spacing w:after="80"/>
        <w:jc w:val="right"/>
      </w:pPr>
      <w:r>
        <w:rPr>
          <w:rFonts w:ascii="Arial" w:hAnsi="Arial" w:cs="Arial" w:eastAsia="Arial"/>
          <w:lang w:val="he-IL" w:bidi="he-IL"/>
          <w:b/>
          <w:color w:val="3182CE"/>
          <w:sz w:val="26"/>
          <w:rtl/>
          <w:szCs w:val="26"/>
          <w:bCs/>
        </w:rPr>
        <w:t>חלק ג׳ – פרק 1 · הבנת הנקרא: סוגה, מטרה וסיכום ממוקד – סיכום וניתוח מטרה</w:t>
      </w:r>
    </w:p>
    <w:p>
      <w:pPr>
        <w:bidi/>
        <w:spacing w:after="40"/>
        <w:jc w:val="right"/>
      </w:pPr>
      <w:r>
        <w:rPr>
          <w:rFonts w:ascii="Arial" w:hAnsi="Arial" w:cs="Arial" w:eastAsia="Arial"/>
          <w:lang w:val="he-IL" w:bidi="he-IL"/>
          <w:sz w:val="22"/>
          <w:rtl/>
          <w:szCs w:val="22"/>
        </w:rPr>
        <w:t>1. סיכום הכולל: הנושא הוא ערך השעמום; הטענה המרכזית - יש לשמר את השעמום ולא למלא כל רגע; שני פרטים תומכים מתוך: יצירה, מיומנות שקט, קשר חברתי או מענה לטענה הנגדית</w:t>
      </w:r>
    </w:p>
    <w:p>
      <w:pPr>
        <w:bidi/>
        <w:pStyle w:val="Heading3"/>
        <w:spacing w:after="80"/>
        <w:jc w:val="right"/>
      </w:pPr>
      <w:r>
        <w:rPr>
          <w:rFonts w:ascii="Arial" w:hAnsi="Arial" w:cs="Arial" w:eastAsia="Arial"/>
          <w:lang w:val="he-IL" w:bidi="he-IL"/>
          <w:b/>
          <w:color w:val="38A169"/>
          <w:sz w:val="26"/>
          <w:rtl/>
          <w:szCs w:val="26"/>
          <w:bCs/>
        </w:rPr>
        <w:t>חלק ד׳ – פרק 2 · מבנה הטקסט: פתיחה, גוף וסיום – הכרת המבנה</w:t>
      </w:r>
    </w:p>
    <w:p>
      <w:pPr>
        <w:bidi/>
        <w:spacing w:after="40"/>
        <w:jc w:val="right"/>
      </w:pPr>
      <w:r>
        <w:rPr>
          <w:rFonts w:ascii="Arial" w:hAnsi="Arial" w:cs="Arial" w:eastAsia="Arial"/>
          <w:lang w:val="he-IL" w:bidi="he-IL"/>
          <w:sz w:val="22"/>
          <w:rtl/>
          <w:szCs w:val="22"/>
        </w:rPr>
        <w:t>1. נכון – הפתיחה חושפת את הנושא ולעיתים גם את עמדת הכותב</w:t>
      </w:r>
    </w:p>
    <w:p>
      <w:pPr>
        <w:bidi/>
        <w:spacing w:after="40"/>
        <w:jc w:val="right"/>
      </w:pPr>
      <w:r>
        <w:rPr>
          <w:rFonts w:ascii="Arial" w:hAnsi="Arial" w:cs="Arial" w:eastAsia="Arial"/>
          <w:lang w:val="he-IL" w:bidi="he-IL"/>
          <w:sz w:val="22"/>
          <w:rtl/>
          <w:szCs w:val="22"/>
        </w:rPr>
        <w:t>2. לא נכון – בגוף מובאים הנימוקים, הדוגמאות וההתייחסות לטענות נגדיות</w:t>
      </w:r>
    </w:p>
    <w:p>
      <w:pPr>
        <w:bidi/>
        <w:pStyle w:val="Heading3"/>
        <w:spacing w:after="80"/>
        <w:jc w:val="right"/>
      </w:pPr>
      <w:r>
        <w:rPr>
          <w:rFonts w:ascii="Arial" w:hAnsi="Arial" w:cs="Arial" w:eastAsia="Arial"/>
          <w:lang w:val="he-IL" w:bidi="he-IL"/>
          <w:b/>
          <w:color w:val="805AD5"/>
          <w:sz w:val="26"/>
          <w:rtl/>
          <w:szCs w:val="26"/>
          <w:bCs/>
        </w:rPr>
        <w:t>חלק ה׳ – פרק 2 · מבנה הטקסט: פתיחה, גוף וסיום – זיהוי במאמר 'בשבחי השעמום'</w:t>
      </w:r>
    </w:p>
    <w:p>
      <w:pPr>
        <w:bidi/>
        <w:spacing w:after="40"/>
        <w:jc w:val="right"/>
      </w:pPr>
      <w:r>
        <w:rPr>
          <w:rFonts w:ascii="Arial" w:hAnsi="Arial" w:cs="Arial" w:eastAsia="Arial"/>
          <w:lang w:val="he-IL" w:bidi="he-IL"/>
          <w:sz w:val="22"/>
          <w:rtl/>
          <w:szCs w:val="22"/>
        </w:rPr>
        <w:t>1. א – בפתיחה</w:t>
      </w:r>
    </w:p>
    <w:p>
      <w:pPr>
        <w:bidi/>
        <w:spacing w:after="40"/>
        <w:jc w:val="right"/>
      </w:pPr>
      <w:r>
        <w:rPr>
          <w:rFonts w:ascii="Arial" w:hAnsi="Arial" w:cs="Arial" w:eastAsia="Arial"/>
          <w:lang w:val="he-IL" w:bidi="he-IL"/>
          <w:sz w:val="22"/>
          <w:rtl/>
          <w:szCs w:val="22"/>
        </w:rPr>
        <w:t>2. ב – לסכם ולהציע הצעה מעשית לקורא</w:t>
      </w:r>
    </w:p>
    <w:p>
      <w:pPr>
        <w:bidi/>
        <w:pStyle w:val="Heading3"/>
        <w:spacing w:after="80"/>
        <w:jc w:val="right"/>
      </w:pPr>
      <w:r>
        <w:rPr>
          <w:rFonts w:ascii="Arial" w:hAnsi="Arial" w:cs="Arial" w:eastAsia="Arial"/>
          <w:lang w:val="he-IL" w:bidi="he-IL"/>
          <w:b/>
          <w:color w:val="D53F8C"/>
          <w:sz w:val="26"/>
          <w:rtl/>
          <w:szCs w:val="26"/>
          <w:bCs/>
        </w:rPr>
        <w:t>חלק ו׳ – פרק 2 · מבנה הטקסט: פתיחה, גוף וסיום – חלוקה ומיון</w:t>
      </w:r>
    </w:p>
    <w:p>
      <w:pPr>
        <w:bidi/>
        <w:spacing w:after="40"/>
        <w:jc w:val="right"/>
      </w:pPr>
      <w:r>
        <w:rPr>
          <w:rFonts w:ascii="Arial" w:hAnsi="Arial" w:cs="Arial" w:eastAsia="Arial"/>
          <w:lang w:val="he-IL" w:bidi="he-IL"/>
          <w:sz w:val="22"/>
          <w:rtl/>
          <w:szCs w:val="22"/>
        </w:rPr>
        <w:t>1 – ב (פתיחה – הצגת השעמום כשאלה)</w:t>
      </w:r>
    </w:p>
    <w:p>
      <w:pPr>
        <w:bidi/>
        <w:spacing w:after="40"/>
        <w:jc w:val="right"/>
      </w:pPr>
      <w:r>
        <w:rPr>
          <w:rFonts w:ascii="Arial" w:hAnsi="Arial" w:cs="Arial" w:eastAsia="Arial"/>
          <w:lang w:val="he-IL" w:bidi="he-IL"/>
          <w:sz w:val="22"/>
          <w:rtl/>
          <w:szCs w:val="22"/>
        </w:rPr>
        <w:t>2 – ג (גוף – נימוקים לטובת השעמום (יצירה, סבלנות, קשר חברתי))</w:t>
      </w:r>
    </w:p>
    <w:p>
      <w:pPr>
        <w:bidi/>
        <w:spacing w:after="40"/>
        <w:jc w:val="right"/>
      </w:pPr>
      <w:r>
        <w:rPr>
          <w:rFonts w:ascii="Arial" w:hAnsi="Arial" w:cs="Arial" w:eastAsia="Arial"/>
          <w:lang w:val="he-IL" w:bidi="he-IL"/>
          <w:sz w:val="22"/>
          <w:rtl/>
          <w:szCs w:val="22"/>
        </w:rPr>
        <w:t>3 – ד (גוף – התייחסות לטענה נגדית ודחייתה)</w:t>
      </w:r>
    </w:p>
    <w:p>
      <w:pPr>
        <w:bidi/>
        <w:spacing w:after="40"/>
        <w:jc w:val="right"/>
      </w:pPr>
      <w:r>
        <w:rPr>
          <w:rFonts w:ascii="Arial" w:hAnsi="Arial" w:cs="Arial" w:eastAsia="Arial"/>
          <w:lang w:val="he-IL" w:bidi="he-IL"/>
          <w:sz w:val="22"/>
          <w:rtl/>
          <w:szCs w:val="22"/>
        </w:rPr>
        <w:t>4 – א (סיום – הצעה מעשית וסיכום)</w:t>
      </w:r>
    </w:p>
    <w:p>
      <w:pPr>
        <w:bidi/>
        <w:pStyle w:val="Heading3"/>
        <w:spacing w:after="80"/>
        <w:jc w:val="right"/>
      </w:pPr>
      <w:r>
        <w:rPr>
          <w:rFonts w:ascii="Arial" w:hAnsi="Arial" w:cs="Arial" w:eastAsia="Arial"/>
          <w:lang w:val="he-IL" w:bidi="he-IL"/>
          <w:b/>
          <w:color w:val="E53E3E"/>
          <w:sz w:val="26"/>
          <w:rtl/>
          <w:szCs w:val="26"/>
          <w:bCs/>
        </w:rPr>
        <w:t>חלק ז׳ – פרק 2 · מבנה הטקסט: פתיחה, גוף וסיום – השלמה</w:t>
      </w:r>
    </w:p>
    <w:p>
      <w:pPr>
        <w:bidi/>
        <w:spacing w:after="40"/>
        <w:jc w:val="right"/>
      </w:pPr>
      <w:r>
        <w:rPr>
          <w:rFonts w:ascii="Arial" w:hAnsi="Arial" w:cs="Arial" w:eastAsia="Arial"/>
          <w:lang w:val="he-IL" w:bidi="he-IL"/>
          <w:sz w:val="22"/>
          <w:rtl/>
          <w:szCs w:val="22"/>
        </w:rPr>
        <w:t>1. חמישית</w:t>
      </w:r>
    </w:p>
    <w:p>
      <w:pPr>
        <w:bidi/>
        <w:pStyle w:val="Heading3"/>
        <w:spacing w:after="80"/>
        <w:jc w:val="right"/>
      </w:pPr>
      <w:r>
        <w:rPr>
          <w:rFonts w:ascii="Arial" w:hAnsi="Arial" w:cs="Arial" w:eastAsia="Arial"/>
          <w:lang w:val="he-IL" w:bidi="he-IL"/>
          <w:b/>
          <w:color w:val="DD6B20"/>
          <w:sz w:val="26"/>
          <w:rtl/>
          <w:szCs w:val="26"/>
          <w:bCs/>
        </w:rPr>
        <w:t>חלק ח׳ – פרק 3 · טיעון ודעה: טענה, ראיה וניגוד דעות – זיהוי הטענה המרכזית</w:t>
      </w:r>
    </w:p>
    <w:p>
      <w:pPr>
        <w:bidi/>
        <w:spacing w:after="40"/>
        <w:jc w:val="right"/>
      </w:pPr>
      <w:r>
        <w:rPr>
          <w:rFonts w:ascii="Arial" w:hAnsi="Arial" w:cs="Arial" w:eastAsia="Arial"/>
          <w:lang w:val="he-IL" w:bidi="he-IL"/>
          <w:sz w:val="22"/>
          <w:rtl/>
          <w:szCs w:val="22"/>
        </w:rPr>
        <w:t>1. לא נכון – הכותבת טוענת שהשעמום הוא מרחב שיש לשמור עליו, ולא אויב שיש להביס.</w:t>
      </w:r>
    </w:p>
    <w:p>
      <w:pPr>
        <w:bidi/>
        <w:spacing w:after="40"/>
        <w:jc w:val="right"/>
      </w:pPr>
      <w:r>
        <w:rPr>
          <w:rFonts w:ascii="Arial" w:hAnsi="Arial" w:cs="Arial" w:eastAsia="Arial"/>
          <w:lang w:val="he-IL" w:bidi="he-IL"/>
          <w:sz w:val="22"/>
          <w:rtl/>
          <w:szCs w:val="22"/>
        </w:rPr>
        <w:t>2. נכון – הטקסט מסביר שכשהמוח אינו מקבל גירוי הוא משוטט, מדמיין ושואל שאלות.</w:t>
      </w:r>
    </w:p>
    <w:p>
      <w:pPr>
        <w:bidi/>
        <w:spacing w:after="40"/>
        <w:jc w:val="right"/>
      </w:pPr>
      <w:r>
        <w:rPr>
          <w:rFonts w:ascii="Arial" w:hAnsi="Arial" w:cs="Arial" w:eastAsia="Arial"/>
          <w:lang w:val="he-IL" w:bidi="he-IL"/>
          <w:sz w:val="22"/>
          <w:rtl/>
          <w:szCs w:val="22"/>
        </w:rPr>
        <w:t>3. לא נכון – דוגמת הספורטאית משמשת להפריך את טענת הנגד ולהראות שגם מנוחה היא חלק מהתהליך.</w:t>
      </w:r>
    </w:p>
    <w:p>
      <w:pPr>
        <w:bidi/>
        <w:pStyle w:val="Heading3"/>
        <w:spacing w:after="80"/>
        <w:jc w:val="right"/>
      </w:pPr>
      <w:r>
        <w:rPr>
          <w:rFonts w:ascii="Arial" w:hAnsi="Arial" w:cs="Arial" w:eastAsia="Arial"/>
          <w:lang w:val="he-IL" w:bidi="he-IL"/>
          <w:b/>
          <w:color w:val="3182CE"/>
          <w:sz w:val="26"/>
          <w:rtl/>
          <w:szCs w:val="26"/>
          <w:bCs/>
        </w:rPr>
        <w:t>חלק ט׳ – פרק 3 · טיעון ודעה: טענה, ראיה וניגוד דעות – מהטענה אל הראיה</w:t>
      </w:r>
    </w:p>
    <w:p>
      <w:pPr>
        <w:bidi/>
        <w:spacing w:after="40"/>
        <w:jc w:val="right"/>
      </w:pPr>
      <w:r>
        <w:rPr>
          <w:rFonts w:ascii="Arial" w:hAnsi="Arial" w:cs="Arial" w:eastAsia="Arial"/>
          <w:lang w:val="he-IL" w:bidi="he-IL"/>
          <w:sz w:val="22"/>
          <w:rtl/>
          <w:szCs w:val="22"/>
        </w:rPr>
        <w:t>1 – ב (השעמום הוא מרחב שיש לשמור עליו, לא אויב להביס)</w:t>
      </w:r>
    </w:p>
    <w:p>
      <w:pPr>
        <w:bidi/>
        <w:spacing w:after="40"/>
        <w:jc w:val="right"/>
      </w:pPr>
      <w:r>
        <w:rPr>
          <w:rFonts w:ascii="Arial" w:hAnsi="Arial" w:cs="Arial" w:eastAsia="Arial"/>
          <w:lang w:val="he-IL" w:bidi="he-IL"/>
          <w:sz w:val="22"/>
          <w:rtl/>
          <w:szCs w:val="22"/>
        </w:rPr>
        <w:t>2 – ג (השעמום הוא קרקע פורייה ליצירה ולרעיונות חדשים)</w:t>
      </w:r>
    </w:p>
    <w:p>
      <w:pPr>
        <w:bidi/>
        <w:spacing w:after="40"/>
        <w:jc w:val="right"/>
      </w:pPr>
      <w:r>
        <w:rPr>
          <w:rFonts w:ascii="Arial" w:hAnsi="Arial" w:cs="Arial" w:eastAsia="Arial"/>
          <w:lang w:val="he-IL" w:bidi="he-IL"/>
          <w:sz w:val="22"/>
          <w:rtl/>
          <w:szCs w:val="22"/>
        </w:rPr>
        <w:t>3 – א (היכולת לשהות עם עצמנו היא מיומנות שצריך לתרגל)</w:t>
      </w:r>
    </w:p>
    <w:p>
      <w:pPr>
        <w:bidi/>
        <w:pStyle w:val="Heading3"/>
        <w:spacing w:after="80"/>
        <w:jc w:val="right"/>
      </w:pPr>
      <w:r>
        <w:rPr>
          <w:rFonts w:ascii="Arial" w:hAnsi="Arial" w:cs="Arial" w:eastAsia="Arial"/>
          <w:lang w:val="he-IL" w:bidi="he-IL"/>
          <w:b/>
          <w:color w:val="38A169"/>
          <w:sz w:val="26"/>
          <w:rtl/>
          <w:szCs w:val="26"/>
          <w:bCs/>
        </w:rPr>
        <w:t>חלק י׳ – פרק 3 · טיעון ודעה: טענה, ראיה וניגוד דעות – התמודדות עם דעה נגדית</w:t>
      </w:r>
    </w:p>
    <w:p>
      <w:pPr>
        <w:bidi/>
        <w:spacing w:after="40"/>
        <w:jc w:val="right"/>
      </w:pPr>
      <w:r>
        <w:rPr>
          <w:rFonts w:ascii="Arial" w:hAnsi="Arial" w:cs="Arial" w:eastAsia="Arial"/>
          <w:lang w:val="he-IL" w:bidi="he-IL"/>
          <w:sz w:val="22"/>
          <w:rtl/>
          <w:szCs w:val="22"/>
        </w:rPr>
        <w:t>1. ניצול אמיתי של הזמן כולל גם מנוחה והתבוננות, לא רק עשייה בלתי פוסקת, כמו ספורטאית שגם זמן המנוחה שלה חלק מהאימון.</w:t>
      </w:r>
    </w:p>
    <w:p>
      <w:pPr>
        <w:bidi/>
        <w:pStyle w:val="Heading3"/>
        <w:spacing w:after="80"/>
        <w:jc w:val="right"/>
      </w:pPr>
      <w:r>
        <w:rPr>
          <w:rFonts w:ascii="Arial" w:hAnsi="Arial" w:cs="Arial" w:eastAsia="Arial"/>
          <w:lang w:val="he-IL" w:bidi="he-IL"/>
          <w:b/>
          <w:color w:val="805AD5"/>
          <w:sz w:val="26"/>
          <w:rtl/>
          <w:szCs w:val="26"/>
          <w:bCs/>
        </w:rPr>
        <w:t>חלק י״א – פרק 4 · חשיבה מסדר גבוה: הנחות סמויות, שאלות לדיון ורלוונטיות לאורך זמן – הבנת הטענות בטקסט "בשבחי השעמום"</w:t>
      </w:r>
    </w:p>
    <w:p>
      <w:pPr>
        <w:bidi/>
        <w:spacing w:after="40"/>
        <w:jc w:val="right"/>
      </w:pPr>
      <w:r>
        <w:rPr>
          <w:rFonts w:ascii="Arial" w:hAnsi="Arial" w:cs="Arial" w:eastAsia="Arial"/>
          <w:lang w:val="he-IL" w:bidi="he-IL"/>
          <w:sz w:val="22"/>
          <w:rtl/>
          <w:szCs w:val="22"/>
        </w:rPr>
        <w:t>1. לא נכון – בטקסט נכתב שהשעמום "אינו אויב שיש להביס, אלא מרחב שיש לשמור עליו"</w:t>
      </w:r>
    </w:p>
    <w:p>
      <w:pPr>
        <w:bidi/>
        <w:spacing w:after="40"/>
        <w:jc w:val="right"/>
      </w:pPr>
      <w:r>
        <w:rPr>
          <w:rFonts w:ascii="Arial" w:hAnsi="Arial" w:cs="Arial" w:eastAsia="Arial"/>
          <w:lang w:val="he-IL" w:bidi="he-IL"/>
          <w:sz w:val="22"/>
          <w:rtl/>
          <w:szCs w:val="22"/>
        </w:rPr>
        <w:t>2. נכון – כך נכתב בפסקה על השעמום כקרקע פורייה ליצירה</w:t>
      </w:r>
    </w:p>
    <w:p>
      <w:pPr>
        <w:bidi/>
        <w:pStyle w:val="Heading3"/>
        <w:spacing w:after="80"/>
        <w:jc w:val="right"/>
      </w:pPr>
      <w:r>
        <w:rPr>
          <w:rFonts w:ascii="Arial" w:hAnsi="Arial" w:cs="Arial" w:eastAsia="Arial"/>
          <w:lang w:val="he-IL" w:bidi="he-IL"/>
          <w:b/>
          <w:color w:val="D53F8C"/>
          <w:sz w:val="26"/>
          <w:rtl/>
          <w:szCs w:val="26"/>
          <w:bCs/>
        </w:rPr>
        <w:t>חלק י״ב – פרק 4 · חשיבה מסדר גבוה: הנחות סמויות, שאלות לדיון ורלוונטיות לאורך זמן – איתור הנחה סמויה וניסוח שאלה לדיון</w:t>
      </w:r>
    </w:p>
    <w:p>
      <w:pPr>
        <w:bidi/>
        <w:spacing w:after="40"/>
        <w:jc w:val="right"/>
      </w:pPr>
      <w:r>
        <w:rPr>
          <w:rFonts w:ascii="Arial" w:hAnsi="Arial" w:cs="Arial" w:eastAsia="Arial"/>
          <w:lang w:val="he-IL" w:bidi="he-IL"/>
          <w:sz w:val="22"/>
          <w:rtl/>
          <w:szCs w:val="22"/>
        </w:rPr>
        <w:t>1. ב – השעמום הוא מרחב חשוב שיש לשמר ולא למלא בכל רגע</w:t>
      </w:r>
    </w:p>
    <w:p>
      <w:pPr>
        <w:bidi/>
        <w:pStyle w:val="Heading3"/>
        <w:spacing w:after="80"/>
        <w:jc w:val="right"/>
      </w:pPr>
      <w:r>
        <w:rPr>
          <w:rFonts w:ascii="Arial" w:hAnsi="Arial" w:cs="Arial" w:eastAsia="Arial"/>
          <w:lang w:val="he-IL" w:bidi="he-IL"/>
          <w:b/>
          <w:color w:val="E53E3E"/>
          <w:sz w:val="26"/>
          <w:rtl/>
          <w:szCs w:val="26"/>
          <w:bCs/>
        </w:rPr>
        <w:t>חלק י״ג – פרק 4 · חשיבה מסדר גבוה: הנחות סמויות, שאלות לדיון ורלוונטיות לאורך זמן – תרגול כרטיס A04–A05</w:t>
      </w:r>
    </w:p>
    <w:p>
      <w:pPr>
        <w:bidi/>
        <w:spacing w:after="40"/>
        <w:jc w:val="right"/>
      </w:pPr>
      <w:r>
        <w:rPr>
          <w:rFonts w:ascii="Arial" w:hAnsi="Arial" w:cs="Arial" w:eastAsia="Arial"/>
          <w:lang w:val="he-IL" w:bidi="he-IL"/>
          <w:sz w:val="22"/>
          <w:rtl/>
          <w:szCs w:val="22"/>
        </w:rPr>
        <w:t>1. זמן</w:t>
      </w:r>
    </w:p>
    <w:p>
      <w:pPr>
        <w:bidi/>
        <w:pStyle w:val="Heading3"/>
        <w:spacing w:after="80"/>
        <w:jc w:val="right"/>
      </w:pPr>
      <w:r>
        <w:rPr>
          <w:rFonts w:ascii="Arial" w:hAnsi="Arial" w:cs="Arial" w:eastAsia="Arial"/>
          <w:lang w:val="he-IL" w:bidi="he-IL"/>
          <w:b/>
          <w:color w:val="DD6B20"/>
          <w:sz w:val="26"/>
          <w:rtl/>
          <w:szCs w:val="26"/>
          <w:bCs/>
        </w:rPr>
        <w:t>חלק י״ד – פרק 4 · חשיבה מסדר גבוה: הנחות סמויות, שאלות לדיון ורלוונטיות לאורך זמן – כתיבה מודרכת</w:t>
      </w:r>
    </w:p>
    <w:p>
      <w:pPr>
        <w:bidi/>
        <w:pStyle w:val="Heading3"/>
        <w:spacing w:after="80"/>
        <w:jc w:val="right"/>
      </w:pPr>
      <w:r>
        <w:rPr>
          <w:rFonts w:ascii="Arial" w:hAnsi="Arial" w:cs="Arial" w:eastAsia="Arial"/>
          <w:lang w:val="he-IL" w:bidi="he-IL"/>
          <w:b/>
          <w:color w:val="3182CE"/>
          <w:sz w:val="26"/>
          <w:rtl/>
          <w:szCs w:val="26"/>
          <w:bCs/>
        </w:rPr>
        <w:t>חלק ט״ו – פרק 5 · לשון ברמת תיכון: תחביר, בניינים, גזרות ומילות קישור – זיהוי בסיסי</w:t>
      </w:r>
    </w:p>
    <w:p>
      <w:pPr>
        <w:bidi/>
        <w:spacing w:after="40"/>
        <w:jc w:val="right"/>
      </w:pPr>
      <w:r>
        <w:rPr>
          <w:rFonts w:ascii="Arial" w:hAnsi="Arial" w:cs="Arial" w:eastAsia="Arial"/>
          <w:lang w:val="he-IL" w:bidi="he-IL"/>
          <w:sz w:val="22"/>
          <w:rtl/>
          <w:szCs w:val="22"/>
        </w:rPr>
        <w:t>1. ג – הפעיל</w:t>
      </w:r>
    </w:p>
    <w:p>
      <w:pPr>
        <w:bidi/>
        <w:spacing w:after="40"/>
        <w:jc w:val="right"/>
      </w:pPr>
      <w:r>
        <w:rPr>
          <w:rFonts w:ascii="Arial" w:hAnsi="Arial" w:cs="Arial" w:eastAsia="Arial"/>
          <w:lang w:val="he-IL" w:bidi="he-IL"/>
          <w:sz w:val="22"/>
          <w:rtl/>
          <w:szCs w:val="22"/>
        </w:rPr>
        <w:t>2. ג – השעמום</w:t>
      </w:r>
    </w:p>
    <w:p>
      <w:pPr>
        <w:bidi/>
        <w:pStyle w:val="Heading3"/>
        <w:spacing w:after="80"/>
        <w:jc w:val="right"/>
      </w:pPr>
      <w:r>
        <w:rPr>
          <w:rFonts w:ascii="Arial" w:hAnsi="Arial" w:cs="Arial" w:eastAsia="Arial"/>
          <w:lang w:val="he-IL" w:bidi="he-IL"/>
          <w:b/>
          <w:color w:val="38A169"/>
          <w:sz w:val="26"/>
          <w:rtl/>
          <w:szCs w:val="26"/>
          <w:bCs/>
        </w:rPr>
        <w:t>חלק ט״ז – פרק 5 · לשון ברמת תיכון: תחביר, בניינים, גזרות ומילות קישור – זיהוי ויישום</w:t>
      </w:r>
    </w:p>
    <w:p>
      <w:pPr>
        <w:bidi/>
        <w:spacing w:after="40"/>
        <w:jc w:val="right"/>
      </w:pPr>
      <w:r>
        <w:rPr>
          <w:rFonts w:ascii="Arial" w:hAnsi="Arial" w:cs="Arial" w:eastAsia="Arial"/>
          <w:lang w:val="he-IL" w:bidi="he-IL"/>
          <w:sz w:val="22"/>
          <w:rtl/>
          <w:szCs w:val="22"/>
        </w:rPr>
        <w:t>1. א – שלמים</w:t>
      </w:r>
    </w:p>
    <w:p>
      <w:pPr>
        <w:bidi/>
        <w:spacing w:after="40"/>
        <w:jc w:val="right"/>
      </w:pPr>
      <w:r>
        <w:rPr>
          <w:rFonts w:ascii="Arial" w:hAnsi="Arial" w:cs="Arial" w:eastAsia="Arial"/>
          <w:lang w:val="he-IL" w:bidi="he-IL"/>
          <w:sz w:val="22"/>
          <w:rtl/>
          <w:szCs w:val="22"/>
        </w:rPr>
        <w:t>2. א – אם</w:t>
      </w:r>
    </w:p>
    <w:p>
      <w:pPr>
        <w:bidi/>
        <w:pStyle w:val="Heading3"/>
        <w:spacing w:after="80"/>
        <w:jc w:val="right"/>
      </w:pPr>
      <w:r>
        <w:rPr>
          <w:rFonts w:ascii="Arial" w:hAnsi="Arial" w:cs="Arial" w:eastAsia="Arial"/>
          <w:lang w:val="he-IL" w:bidi="he-IL"/>
          <w:b/>
          <w:color w:val="805AD5"/>
          <w:sz w:val="26"/>
          <w:rtl/>
          <w:szCs w:val="26"/>
          <w:bCs/>
        </w:rPr>
        <w:t>חלק י״ז – פרק 5 · לשון ברמת תיכון: תחביר, בניינים, גזרות ומילות קישור – התאמה</w:t>
      </w:r>
    </w:p>
    <w:p>
      <w:pPr>
        <w:bidi/>
        <w:spacing w:after="40"/>
        <w:jc w:val="right"/>
      </w:pPr>
      <w:r>
        <w:rPr>
          <w:rFonts w:ascii="Arial" w:hAnsi="Arial" w:cs="Arial" w:eastAsia="Arial"/>
          <w:lang w:val="he-IL" w:bidi="he-IL"/>
          <w:sz w:val="22"/>
          <w:rtl/>
          <w:szCs w:val="22"/>
        </w:rPr>
        <w:t>1 – ג (נפעל)</w:t>
      </w:r>
    </w:p>
    <w:p>
      <w:pPr>
        <w:bidi/>
        <w:spacing w:after="40"/>
        <w:jc w:val="right"/>
      </w:pPr>
      <w:r>
        <w:rPr>
          <w:rFonts w:ascii="Arial" w:hAnsi="Arial" w:cs="Arial" w:eastAsia="Arial"/>
          <w:lang w:val="he-IL" w:bidi="he-IL"/>
          <w:sz w:val="22"/>
          <w:rtl/>
          <w:szCs w:val="22"/>
        </w:rPr>
        <w:t>2 – ד (הפעיל)</w:t>
      </w:r>
    </w:p>
    <w:p>
      <w:pPr>
        <w:bidi/>
        <w:spacing w:after="40"/>
        <w:jc w:val="right"/>
      </w:pPr>
      <w:r>
        <w:rPr>
          <w:rFonts w:ascii="Arial" w:hAnsi="Arial" w:cs="Arial" w:eastAsia="Arial"/>
          <w:lang w:val="he-IL" w:bidi="he-IL"/>
          <w:sz w:val="22"/>
          <w:rtl/>
          <w:szCs w:val="22"/>
        </w:rPr>
        <w:t>3 – ב (פיעל)</w:t>
      </w:r>
    </w:p>
    <w:p>
      <w:pPr>
        <w:bidi/>
        <w:spacing w:after="40"/>
        <w:jc w:val="right"/>
      </w:pPr>
      <w:r>
        <w:rPr>
          <w:rFonts w:ascii="Arial" w:hAnsi="Arial" w:cs="Arial" w:eastAsia="Arial"/>
          <w:lang w:val="he-IL" w:bidi="he-IL"/>
          <w:sz w:val="22"/>
          <w:rtl/>
          <w:szCs w:val="22"/>
        </w:rPr>
        <w:t>4 – א (התפעל)</w:t>
      </w:r>
    </w:p>
    <w:p>
      <w:pPr>
        <w:bidi/>
        <w:pStyle w:val="Heading3"/>
        <w:spacing w:after="80"/>
        <w:jc w:val="right"/>
      </w:pPr>
      <w:r>
        <w:rPr>
          <w:rFonts w:ascii="Arial" w:hAnsi="Arial" w:cs="Arial" w:eastAsia="Arial"/>
          <w:lang w:val="he-IL" w:bidi="he-IL"/>
          <w:b/>
          <w:color w:val="D53F8C"/>
          <w:sz w:val="26"/>
          <w:rtl/>
          <w:szCs w:val="26"/>
          <w:bCs/>
        </w:rPr>
        <w:t>חלק י״ח – פרק 5 · לשון ברמת תיכון: תחביר, בניינים, גזרות ומילות קישור – כתיבה ועיבוד</w:t>
      </w:r>
    </w:p>
    <w:p>
      <w:pPr>
        <w:bidi/>
        <w:pStyle w:val="Heading3"/>
        <w:spacing w:after="80"/>
        <w:jc w:val="right"/>
      </w:pPr>
      <w:r>
        <w:rPr>
          <w:rFonts w:ascii="Arial" w:hAnsi="Arial" w:cs="Arial" w:eastAsia="Arial"/>
          <w:lang w:val="he-IL" w:bidi="he-IL"/>
          <w:b/>
          <w:color w:val="E53E3E"/>
          <w:sz w:val="26"/>
          <w:rtl/>
          <w:szCs w:val="26"/>
          <w:bCs/>
        </w:rPr>
        <w:t>חלק י״ט – פרק 6 · יצירה וסגנון: חיקוי סגנון ומשלב – זיהוי מאפייני הסגנון</w:t>
      </w:r>
    </w:p>
    <w:p>
      <w:pPr>
        <w:bidi/>
        <w:spacing w:after="40"/>
        <w:jc w:val="right"/>
      </w:pPr>
      <w:r>
        <w:rPr>
          <w:rFonts w:ascii="Arial" w:hAnsi="Arial" w:cs="Arial" w:eastAsia="Arial"/>
          <w:lang w:val="he-IL" w:bidi="he-IL"/>
          <w:sz w:val="22"/>
          <w:rtl/>
          <w:szCs w:val="22"/>
        </w:rPr>
        <w:t>1. א – גוף ראשון יחיד</w:t>
      </w:r>
    </w:p>
    <w:p>
      <w:pPr>
        <w:bidi/>
        <w:spacing w:after="40"/>
        <w:jc w:val="right"/>
      </w:pPr>
      <w:r>
        <w:rPr>
          <w:rFonts w:ascii="Arial" w:hAnsi="Arial" w:cs="Arial" w:eastAsia="Arial"/>
          <w:lang w:val="he-IL" w:bidi="he-IL"/>
          <w:sz w:val="22"/>
          <w:rtl/>
          <w:szCs w:val="22"/>
        </w:rPr>
        <w:t>2. א – בשאלה רטורית לקורא</w:t>
      </w:r>
    </w:p>
    <w:p>
      <w:pPr>
        <w:bidi/>
        <w:spacing w:after="40"/>
        <w:jc w:val="right"/>
      </w:pPr>
      <w:r>
        <w:rPr>
          <w:rFonts w:ascii="Arial" w:hAnsi="Arial" w:cs="Arial" w:eastAsia="Arial"/>
          <w:lang w:val="he-IL" w:bidi="he-IL"/>
          <w:sz w:val="22"/>
          <w:rtl/>
          <w:szCs w:val="22"/>
        </w:rPr>
        <w:t>3. א – ראשית, שנית, זאת ועוד, לכן</w:t>
      </w:r>
    </w:p>
    <w:p>
      <w:pPr>
        <w:bidi/>
        <w:pStyle w:val="Heading3"/>
        <w:spacing w:after="80"/>
        <w:jc w:val="right"/>
      </w:pPr>
      <w:r>
        <w:rPr>
          <w:rFonts w:ascii="Arial" w:hAnsi="Arial" w:cs="Arial" w:eastAsia="Arial"/>
          <w:lang w:val="he-IL" w:bidi="he-IL"/>
          <w:b/>
          <w:color w:val="DD6B20"/>
          <w:sz w:val="26"/>
          <w:rtl/>
          <w:szCs w:val="26"/>
          <w:bCs/>
        </w:rPr>
        <w:t>חלק כ׳ – פרק 6 · יצירה וסגנון: חיקוי סגנון ומשלב – ניתוח מילות הקישור והמבנה הטיעוני</w:t>
      </w:r>
    </w:p>
    <w:p>
      <w:pPr>
        <w:bidi/>
        <w:spacing w:after="40"/>
        <w:jc w:val="right"/>
      </w:pPr>
      <w:r>
        <w:rPr>
          <w:rFonts w:ascii="Arial" w:hAnsi="Arial" w:cs="Arial" w:eastAsia="Arial"/>
          <w:lang w:val="he-IL" w:bidi="he-IL"/>
          <w:sz w:val="22"/>
          <w:rtl/>
          <w:szCs w:val="22"/>
        </w:rPr>
        <w:t>1 – ב (סידור הטיעונים לפי סדר)</w:t>
      </w:r>
    </w:p>
    <w:p>
      <w:pPr>
        <w:bidi/>
        <w:spacing w:after="40"/>
        <w:jc w:val="right"/>
      </w:pPr>
      <w:r>
        <w:rPr>
          <w:rFonts w:ascii="Arial" w:hAnsi="Arial" w:cs="Arial" w:eastAsia="Arial"/>
          <w:lang w:val="he-IL" w:bidi="he-IL"/>
          <w:sz w:val="22"/>
          <w:rtl/>
          <w:szCs w:val="22"/>
        </w:rPr>
        <w:t>2 – א (הצגת טענה נגדית והפרכתה)</w:t>
      </w:r>
    </w:p>
    <w:p>
      <w:pPr>
        <w:bidi/>
        <w:spacing w:after="40"/>
        <w:jc w:val="right"/>
      </w:pPr>
      <w:r>
        <w:rPr>
          <w:rFonts w:ascii="Arial" w:hAnsi="Arial" w:cs="Arial" w:eastAsia="Arial"/>
          <w:lang w:val="he-IL" w:bidi="he-IL"/>
          <w:sz w:val="22"/>
          <w:rtl/>
          <w:szCs w:val="22"/>
        </w:rPr>
        <w:t>3 – ד (מעבר למסקנה והצעת פעולה)</w:t>
      </w:r>
    </w:p>
    <w:p>
      <w:pPr>
        <w:bidi/>
        <w:spacing w:after="40"/>
        <w:jc w:val="right"/>
      </w:pPr>
      <w:r>
        <w:rPr>
          <w:rFonts w:ascii="Arial" w:hAnsi="Arial" w:cs="Arial" w:eastAsia="Arial"/>
          <w:lang w:val="he-IL" w:bidi="he-IL"/>
          <w:sz w:val="22"/>
          <w:rtl/>
          <w:szCs w:val="22"/>
        </w:rPr>
        <w:t>4 – ג (המחשת רעיון באמצעות דוגמה)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מציינת סוגה מדויקת ושלושה מאפיינים רלוונטיים מתוך הטקסט עצמו</w:t>
      </w:r>
    </w:p>
    <w:p>
      <w:pPr>
        <w:bidi/>
        <w:spacing w:after="80"/>
        <w:jc w:val="right"/>
      </w:pPr>
      <w:r>
        <w:rPr>
          <w:rFonts w:ascii="Arial" w:hAnsi="Arial" w:cs="Arial" w:eastAsia="Arial"/>
          <w:lang w:val="he-IL" w:bidi="he-IL"/>
          <w:sz w:val="22"/>
          <w:rtl/>
          <w:szCs w:val="22"/>
        </w:rPr>
        <w:t>• תשובה טובה מבחינה בבירור בין הטענה המרכזית, הראיה והדעה הנגדית, ולא מערבבת ביניהן</w:t>
      </w:r>
    </w:p>
    <w:p>
      <w:pPr>
        <w:bidi/>
        <w:spacing w:after="80"/>
        <w:jc w:val="right"/>
      </w:pPr>
      <w:r>
        <w:rPr>
          <w:rFonts w:ascii="Arial" w:hAnsi="Arial" w:cs="Arial" w:eastAsia="Arial"/>
          <w:lang w:val="he-IL" w:bidi="he-IL"/>
          <w:sz w:val="22"/>
          <w:rtl/>
          <w:szCs w:val="22"/>
        </w:rPr>
        <w:t>• תשובה טובה מצטטת דוגמה קצרה (עד שמונה מילים) ומנתחת אותה נכון מבחינה לשונית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לפרוס את החוברת על פני 3–4 שיעורים: שיעור אחד לכל שניים-שלושה פרקים, עם קריאת הטקסט מחדש בכל פעם מזווית שונה</w:t>
      </w:r>
    </w:p>
    <w:p>
      <w:pPr>
        <w:bidi/>
        <w:spacing w:after="80"/>
        <w:jc w:val="right"/>
      </w:pPr>
      <w:r>
        <w:rPr>
          <w:rFonts w:ascii="Arial" w:hAnsi="Arial" w:cs="Arial" w:eastAsia="Arial"/>
          <w:lang w:val="he-IL" w:bidi="he-IL"/>
          <w:sz w:val="22"/>
          <w:rtl/>
          <w:szCs w:val="22"/>
        </w:rPr>
        <w:t>• לתלמידים המתקשים אפשר להנגיש משימות ברמת חט״ב (למשל 'שש שאלות' או 'מה המטרה') לפני המעבר למשימות חט״ע המורכבות יותר</w:t>
      </w:r>
    </w:p>
    <w:p>
      <w:pPr>
        <w:bidi/>
        <w:spacing w:after="80"/>
        <w:jc w:val="right"/>
      </w:pPr>
      <w:r>
        <w:rPr>
          <w:rFonts w:ascii="Arial" w:hAnsi="Arial" w:cs="Arial" w:eastAsia="Arial"/>
          <w:lang w:val="he-IL" w:bidi="he-IL"/>
          <w:sz w:val="22"/>
          <w:rtl/>
          <w:szCs w:val="22"/>
        </w:rPr>
        <w:t>• ניתן לשלב את דרכי ההפעלה שבאתר – לוח בחירה איקס-עיגול או תפריט מסעדה – כדי לתת לתלמידים ותלמידות בחירה בין משימות החוברת</w:t>
      </w:r>
    </w:p>
    <w:p>
      <w:pPr>
        <w:bidi/>
        <w:spacing w:after="80"/>
        <w:jc w:val="right"/>
      </w:pPr>
      <w:r>
        <w:rPr>
          <w:rFonts w:ascii="Arial" w:hAnsi="Arial" w:cs="Arial" w:eastAsia="Arial"/>
          <w:lang w:val="he-IL" w:bidi="he-IL"/>
          <w:sz w:val="22"/>
          <w:rtl/>
          <w:szCs w:val="22"/>
        </w:rPr>
        <w:t>• כדאי לסיים כל פרק בשיתוף קצר במליאה, שבו 2–3 תלמידים מציגים תשובה אחת, כדי לחזק הבנה משותפת של מושגי המפתח</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לטקסט (רמת תיכון)</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תתרגלו עבודה עם כרטיסיות משימה על טקסט מסוג מאמר דעה. עברו על הפרקים לפי הסדר, ובכל פרק בחרו משימה אחת או שתיים והשלימו אותה בכתב מלא ומנומק. שימו לב לרמת הקושי (כוכביות) ונסו להסביר את תשובתכם בעזרת ציטוט קצר או התייחסות לקטע מהטקסט.</w:t>
      </w:r>
    </w:p>
    <w:p>
      <w:pPr>
        <w:bidi/>
        <w:spacing w:after="80"/>
        <w:jc w:val="right"/>
      </w:pPr>
      <w:r>
        <w:rPr>
          <w:rFonts w:ascii="Arial" w:hAnsi="Arial" w:cs="Arial" w:eastAsia="Arial"/>
          <w:lang w:val="he-IL" w:bidi="he-IL"/>
          <w:b/>
          <w:color w:val="7B341E"/>
          <w:sz w:val="32"/>
          <w:rtl/>
          <w:szCs w:val="32"/>
          <w:bCs/>
        </w:rPr>
        <w:t>🧺 בנק מילים: יצירה  ·  חמישית  ·  לשכנע  ·  זמן</w:t>
      </w:r>
    </w:p>
    <w:p>
      <w:pPr>
        <w:bidi/>
        <w:pStyle w:val="Heading2"/>
        <w:spacing w:after="80"/>
        <w:jc w:val="right"/>
      </w:pPr>
      <w:r>
        <w:rPr>
          <w:rFonts w:ascii="Arial" w:hAnsi="Arial" w:cs="Arial" w:eastAsia="Arial"/>
          <w:lang w:val="he-IL" w:bidi="he-IL"/>
          <w:b/>
          <w:color w:val="E53E3E"/>
          <w:sz w:val="36"/>
          <w:rtl/>
          <w:szCs w:val="36"/>
          <w:bCs/>
        </w:rPr>
        <w:t>1  חלק א׳ – פרק 1 · הבנת הנקרא: סוגה, מטרה וסיכום ממוקד – היכרות עם הטקסט</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הטקסט 'בשבחי השעמום' הוא מאמר דעה שבו הכותבת משכנעת את הקוראים בעמדתה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הכותבת קוראת לבטל את השעמום לגמרי מחיי היומיום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אחד הנימוקים בטקסט הוא שהשעמום מאפשר למוח 'לשוטט' וליצור רעיונות חדשים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הבנת הנקרא: סוגה, מטרה וסיכום ממוקד – זיהוי טענות ומטרה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לפי הטקסט, מטרת הכותבת היא __________ את הקוראים בערך השעמום</w:t>
      </w:r>
    </w:p>
    <w:p>
      <w:pPr>
        <w:bidi/>
        <w:spacing w:after="80"/>
        <w:jc w:val="right"/>
      </w:pPr>
      <w:r>
        <w:rPr>
          <w:rFonts w:ascii="Arial" w:hAnsi="Arial" w:cs="Arial" w:eastAsia="Arial"/>
          <w:lang w:val="he-IL" w:bidi="he-IL"/>
          <w:sz w:val="32"/>
          <w:rtl/>
          <w:szCs w:val="32"/>
        </w:rPr>
        <w:t>2. הכותבת מכנה את השעמום 'קרקע פורייה' ל__________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הבנת הנקרא: סוגה, מטרה וסיכום ממוקד – סיכום וניתוח מטרה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סיכום של הטקסט ב-4–5 משפטים: הנושא, הטענה המרכזית ושני פרטים תומכים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מבנה הטקסט: פתיחה, גוף וסיום – הכרת המבנה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תפקיד הפתיחה במאמר דעה הוא להציג את הנושא ולעורר עניין אצל הקוראים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בגוף הטקסט מופיעה רק דעה אחת, בלי נימוקים או דוגמאות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מבנה הטקסט: פתיחה, גוף וסיום – זיהוי במאמר 'בשבחי השעמום'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חלק של המאמר 'בשבחי השעמום' מופיעה השאלה הפותחת על חוויית השעמום?</w:t>
      </w:r>
    </w:p>
    <w:p>
      <w:pPr>
        <w:bidi/>
        <w:spacing w:after="20"/>
        <w:jc w:val="right"/>
      </w:pPr>
      <w:r>
        <w:rPr>
          <w:rFonts w:ascii="Arial" w:hAnsi="Arial" w:cs="Arial" w:eastAsia="Arial"/>
          <w:lang w:val="he-IL" w:bidi="he-IL"/>
          <w:sz w:val="32"/>
          <w:rtl/>
          <w:szCs w:val="32"/>
        </w:rPr>
        <w:t xml:space="preserve">      ☐ א. בפתיחה</w:t>
      </w:r>
    </w:p>
    <w:p>
      <w:pPr>
        <w:bidi/>
        <w:spacing w:after="20"/>
        <w:jc w:val="right"/>
      </w:pPr>
      <w:r>
        <w:rPr>
          <w:rFonts w:ascii="Arial" w:hAnsi="Arial" w:cs="Arial" w:eastAsia="Arial"/>
          <w:lang w:val="he-IL" w:bidi="he-IL"/>
          <w:sz w:val="32"/>
          <w:rtl/>
          <w:szCs w:val="32"/>
        </w:rPr>
        <w:t xml:space="preserve">      ☐ ב. באמצע הגוף</w:t>
      </w:r>
    </w:p>
    <w:p>
      <w:pPr>
        <w:bidi/>
        <w:spacing w:after="20"/>
        <w:jc w:val="right"/>
      </w:pPr>
      <w:r>
        <w:rPr>
          <w:rFonts w:ascii="Arial" w:hAnsi="Arial" w:cs="Arial" w:eastAsia="Arial"/>
          <w:lang w:val="he-IL" w:bidi="he-IL"/>
          <w:sz w:val="32"/>
          <w:rtl/>
          <w:szCs w:val="32"/>
        </w:rPr>
        <w:t xml:space="preserve">      ☐ ג. בסיום</w:t>
      </w:r>
    </w:p>
    <w:p>
      <w:pPr>
        <w:bidi/>
        <w:spacing w:after="20"/>
        <w:jc w:val="right"/>
      </w:pPr>
      <w:r>
        <w:rPr>
          <w:rFonts w:ascii="Arial" w:hAnsi="Arial" w:cs="Arial" w:eastAsia="Arial"/>
          <w:lang w:val="he-IL" w:bidi="he-IL"/>
          <w:b/>
          <w:sz w:val="32"/>
          <w:rtl/>
          <w:szCs w:val="32"/>
          <w:bCs/>
        </w:rPr>
        <w:t>2. מה תפקיד הסיום במאמר דעה כמו 'בשבחי השעמום'?</w:t>
      </w:r>
    </w:p>
    <w:p>
      <w:pPr>
        <w:bidi/>
        <w:spacing w:after="20"/>
        <w:jc w:val="right"/>
      </w:pPr>
      <w:r>
        <w:rPr>
          <w:rFonts w:ascii="Arial" w:hAnsi="Arial" w:cs="Arial" w:eastAsia="Arial"/>
          <w:lang w:val="he-IL" w:bidi="he-IL"/>
          <w:sz w:val="32"/>
          <w:rtl/>
          <w:szCs w:val="32"/>
        </w:rPr>
        <w:t xml:space="preserve">      ☐ א. לחזור על כל הנימוקים בפירוט</w:t>
      </w:r>
    </w:p>
    <w:p>
      <w:pPr>
        <w:bidi/>
        <w:spacing w:after="20"/>
        <w:jc w:val="right"/>
      </w:pPr>
      <w:r>
        <w:rPr>
          <w:rFonts w:ascii="Arial" w:hAnsi="Arial" w:cs="Arial" w:eastAsia="Arial"/>
          <w:lang w:val="he-IL" w:bidi="he-IL"/>
          <w:sz w:val="32"/>
          <w:rtl/>
          <w:szCs w:val="32"/>
        </w:rPr>
        <w:t xml:space="preserve">      ☐ ב. לסכם ולהציע הצעה מעשית לקורא</w:t>
      </w:r>
    </w:p>
    <w:p>
      <w:pPr>
        <w:bidi/>
        <w:spacing w:after="20"/>
        <w:jc w:val="right"/>
      </w:pPr>
      <w:r>
        <w:rPr>
          <w:rFonts w:ascii="Arial" w:hAnsi="Arial" w:cs="Arial" w:eastAsia="Arial"/>
          <w:lang w:val="he-IL" w:bidi="he-IL"/>
          <w:sz w:val="32"/>
          <w:rtl/>
          <w:szCs w:val="32"/>
        </w:rPr>
        <w:t xml:space="preserve">      ☐ ג. להציג דמות חדשה בעלילה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מבנה הטקסט: פתיחה, גוף וסיום – חלוקה ומיון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פסקה 1</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סיום – הצעה מעשית וסיכום</w:t>
            </w:r>
          </w:p>
        </w:tc>
      </w:tr>
      <w:tr>
        <w:tc>
          <w:tcPr>
            <w:tcW w:type="dxa" w:w="3969"/>
          </w:tcPr>
          <w:p>
            <w:pPr>
              <w:bidi/>
              <w:jc w:val="right"/>
            </w:pPr>
            <w:r>
              <w:rPr>
                <w:rFonts w:ascii="Arial" w:hAnsi="Arial" w:cs="Arial" w:eastAsia="Arial"/>
                <w:lang w:val="he-IL" w:bidi="he-IL"/>
                <w:sz w:val="32"/>
                <w:rtl/>
                <w:szCs w:val="32"/>
              </w:rPr>
              <w:t>2. פסקאות 2–4</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פתיחה – הצגת השעמום כשאלה</w:t>
            </w:r>
          </w:p>
        </w:tc>
      </w:tr>
      <w:tr>
        <w:tc>
          <w:tcPr>
            <w:tcW w:type="dxa" w:w="3969"/>
          </w:tcPr>
          <w:p>
            <w:pPr>
              <w:bidi/>
              <w:jc w:val="right"/>
            </w:pPr>
            <w:r>
              <w:rPr>
                <w:rFonts w:ascii="Arial" w:hAnsi="Arial" w:cs="Arial" w:eastAsia="Arial"/>
                <w:lang w:val="he-IL" w:bidi="he-IL"/>
                <w:sz w:val="32"/>
                <w:rtl/>
                <w:szCs w:val="32"/>
              </w:rPr>
              <w:t>3. פסקה 5</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גוף – נימוקים לטובת השעמום (יצירה, סבלנות, קשר חברתי)</w:t>
            </w:r>
          </w:p>
        </w:tc>
      </w:tr>
      <w:tr>
        <w:tc>
          <w:tcPr>
            <w:tcW w:type="dxa" w:w="3969"/>
          </w:tcPr>
          <w:p>
            <w:pPr>
              <w:bidi/>
              <w:jc w:val="right"/>
            </w:pPr>
            <w:r>
              <w:rPr>
                <w:rFonts w:ascii="Arial" w:hAnsi="Arial" w:cs="Arial" w:eastAsia="Arial"/>
                <w:lang w:val="he-IL" w:bidi="he-IL"/>
                <w:sz w:val="32"/>
                <w:rtl/>
                <w:szCs w:val="32"/>
              </w:rPr>
              <w:t>4. פסקאות 6–7</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גוף – התייחסות לטענה נגדית ודחייתה</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מבנה הטקסט: פתיחה, גוף וסיום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בפסקה ה__________ במאמר מופיעה ההתייחסות לטענה שהשעמום הוא בזבוז זמן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טיעון ודעה: טענה, ראיה וניגוד דעות – זיהוי הטענה המרכזית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הכותבת טוענת שיש להיפטר מהשעמום לגמרי כדי להצליח בחיים.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לפי הטקסט, השעמום יכול לעזור לפתח רעיונות יצירתיים.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הכותבת מביאה את דוגמת הספורטאית כדי לחזק את טענת הנגד שהשעמום הוא בזבוז זמן.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טיעון ודעה: טענה, ראיה וניגוד דעות – מהטענה אל הראיה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הטענה המרכזית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היכולת לשהות עם עצמנו היא מיומנות שצריך לתרגל</w:t>
            </w:r>
          </w:p>
        </w:tc>
      </w:tr>
      <w:tr>
        <w:tc>
          <w:tcPr>
            <w:tcW w:type="dxa" w:w="3969"/>
          </w:tcPr>
          <w:p>
            <w:pPr>
              <w:bidi/>
              <w:jc w:val="right"/>
            </w:pPr>
            <w:r>
              <w:rPr>
                <w:rFonts w:ascii="Arial" w:hAnsi="Arial" w:cs="Arial" w:eastAsia="Arial"/>
                <w:lang w:val="he-IL" w:bidi="he-IL"/>
                <w:sz w:val="32"/>
                <w:rtl/>
                <w:szCs w:val="32"/>
              </w:rPr>
              <w:t>2. ראיה ראשונה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השעמום הוא מרחב שיש לשמור עליו, לא אויב להביס</w:t>
            </w:r>
          </w:p>
        </w:tc>
      </w:tr>
      <w:tr>
        <w:tc>
          <w:tcPr>
            <w:tcW w:type="dxa" w:w="3969"/>
          </w:tcPr>
          <w:p>
            <w:pPr>
              <w:bidi/>
              <w:jc w:val="right"/>
            </w:pPr>
            <w:r>
              <w:rPr>
                <w:rFonts w:ascii="Arial" w:hAnsi="Arial" w:cs="Arial" w:eastAsia="Arial"/>
                <w:lang w:val="he-IL" w:bidi="he-IL"/>
                <w:sz w:val="32"/>
                <w:rtl/>
                <w:szCs w:val="32"/>
              </w:rPr>
              <w:t>3. ראיה שנייה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השעמום הוא קרקע פורייה ליצירה ולרעיונות חדשים</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טיעון ודעה: טענה, ראיה וניגוד דעות – התמודדות עם דעה נגדית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נסחו במילים שלכם את תשובת הכותבת לטענת הנגד שהשעמום הוא בזבוז זמן.</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חשיבה מסדר גבוה: הנחות סמויות, שאלות לדיון ורלוונטיות לאורך זמן – הבנת הטענות בטקסט "בשבחי השעמום"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לפי הטקסט, הכותבת רואה בשעמום אויב שיש להביס</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הטקסט טוען שרעיונות טובים נולדים לעיתים דווקא ברגעי שעמום, כמו במקלחת או בהליכה ארוכה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חשיבה מסדר גבוה: הנחות סמויות, שאלות לדיון ורלוונטיות לאורך זמן – איתור הנחה סמויה וניסוח שאלה לדיון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הטענה המרכזית של הטקסט "בשבחי השעמום"?</w:t>
      </w:r>
    </w:p>
    <w:p>
      <w:pPr>
        <w:bidi/>
        <w:spacing w:after="20"/>
        <w:jc w:val="right"/>
      </w:pPr>
      <w:r>
        <w:rPr>
          <w:rFonts w:ascii="Arial" w:hAnsi="Arial" w:cs="Arial" w:eastAsia="Arial"/>
          <w:lang w:val="he-IL" w:bidi="he-IL"/>
          <w:sz w:val="32"/>
          <w:rtl/>
          <w:szCs w:val="32"/>
        </w:rPr>
        <w:t xml:space="preserve">      ☐ א. יש לבטל לגמרי את השימוש במסכים</w:t>
      </w:r>
    </w:p>
    <w:p>
      <w:pPr>
        <w:bidi/>
        <w:spacing w:after="20"/>
        <w:jc w:val="right"/>
      </w:pPr>
      <w:r>
        <w:rPr>
          <w:rFonts w:ascii="Arial" w:hAnsi="Arial" w:cs="Arial" w:eastAsia="Arial"/>
          <w:lang w:val="he-IL" w:bidi="he-IL"/>
          <w:sz w:val="32"/>
          <w:rtl/>
          <w:szCs w:val="32"/>
        </w:rPr>
        <w:t xml:space="preserve">      ☐ ב. השעמום הוא מרחב חשוב שיש לשמר ולא למלא בכל רגע</w:t>
      </w:r>
    </w:p>
    <w:p>
      <w:pPr>
        <w:bidi/>
        <w:spacing w:after="20"/>
        <w:jc w:val="right"/>
      </w:pPr>
      <w:r>
        <w:rPr>
          <w:rFonts w:ascii="Arial" w:hAnsi="Arial" w:cs="Arial" w:eastAsia="Arial"/>
          <w:lang w:val="he-IL" w:bidi="he-IL"/>
          <w:sz w:val="32"/>
          <w:rtl/>
          <w:szCs w:val="32"/>
        </w:rPr>
        <w:t xml:space="preserve">      ☐ ג. ספורט חשוב יותר מלמידה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חשיבה מסדר גבוה: הנחות סמויות, שאלות לדיון ורלוונטיות לאורך זמן – תרגול כרטיס A04–A05</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הטקסט טוען שהשעמום מועיל, אך אינו מתייחס לכך שלא לכל אדם יש באותה מידה __________ פנוי ביום לשם כך.</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חשיבה מסדר גבוה: הנחות סמויות, שאלות לדיון ורלוונטיות לאורך זמן – כתיבה מודרכת</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לשון ברמת תיכון: תחביר, בניינים, גזרות ומילות קישור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בטקסט 'בשבחי השעמום' מופיע המשפט 'המוח מתחיל לשוטט'. באיזה בניין נטוי הפועל 'מתחיל'?</w:t>
      </w:r>
    </w:p>
    <w:p>
      <w:pPr>
        <w:bidi/>
        <w:spacing w:after="20"/>
        <w:jc w:val="right"/>
      </w:pPr>
      <w:r>
        <w:rPr>
          <w:rFonts w:ascii="Arial" w:hAnsi="Arial" w:cs="Arial" w:eastAsia="Arial"/>
          <w:lang w:val="he-IL" w:bidi="he-IL"/>
          <w:sz w:val="32"/>
          <w:rtl/>
          <w:szCs w:val="32"/>
        </w:rPr>
        <w:t xml:space="preserve">      ☐ א. פעל</w:t>
      </w:r>
    </w:p>
    <w:p>
      <w:pPr>
        <w:bidi/>
        <w:spacing w:after="20"/>
        <w:jc w:val="right"/>
      </w:pPr>
      <w:r>
        <w:rPr>
          <w:rFonts w:ascii="Arial" w:hAnsi="Arial" w:cs="Arial" w:eastAsia="Arial"/>
          <w:lang w:val="he-IL" w:bidi="he-IL"/>
          <w:sz w:val="32"/>
          <w:rtl/>
          <w:szCs w:val="32"/>
        </w:rPr>
        <w:t xml:space="preserve">      ☐ ב. פיעל</w:t>
      </w:r>
    </w:p>
    <w:p>
      <w:pPr>
        <w:bidi/>
        <w:spacing w:after="20"/>
        <w:jc w:val="right"/>
      </w:pPr>
      <w:r>
        <w:rPr>
          <w:rFonts w:ascii="Arial" w:hAnsi="Arial" w:cs="Arial" w:eastAsia="Arial"/>
          <w:lang w:val="he-IL" w:bidi="he-IL"/>
          <w:sz w:val="32"/>
          <w:rtl/>
          <w:szCs w:val="32"/>
        </w:rPr>
        <w:t xml:space="preserve">      ☐ ג. הפעיל</w:t>
      </w:r>
    </w:p>
    <w:p>
      <w:pPr>
        <w:bidi/>
        <w:spacing w:after="20"/>
        <w:jc w:val="right"/>
      </w:pPr>
      <w:r>
        <w:rPr>
          <w:rFonts w:ascii="Arial" w:hAnsi="Arial" w:cs="Arial" w:eastAsia="Arial"/>
          <w:lang w:val="he-IL" w:bidi="he-IL"/>
          <w:b/>
          <w:sz w:val="32"/>
          <w:rtl/>
          <w:szCs w:val="32"/>
          <w:bCs/>
        </w:rPr>
        <w:t>2. מהו הנושא במשפט 'השעמום הוא קרקע פורייה ליצירה'?</w:t>
      </w:r>
    </w:p>
    <w:p>
      <w:pPr>
        <w:bidi/>
        <w:spacing w:after="20"/>
        <w:jc w:val="right"/>
      </w:pPr>
      <w:r>
        <w:rPr>
          <w:rFonts w:ascii="Arial" w:hAnsi="Arial" w:cs="Arial" w:eastAsia="Arial"/>
          <w:lang w:val="he-IL" w:bidi="he-IL"/>
          <w:sz w:val="32"/>
          <w:rtl/>
          <w:szCs w:val="32"/>
        </w:rPr>
        <w:t xml:space="preserve">      ☐ א. קרקע</w:t>
      </w:r>
    </w:p>
    <w:p>
      <w:pPr>
        <w:bidi/>
        <w:spacing w:after="20"/>
        <w:jc w:val="right"/>
      </w:pPr>
      <w:r>
        <w:rPr>
          <w:rFonts w:ascii="Arial" w:hAnsi="Arial" w:cs="Arial" w:eastAsia="Arial"/>
          <w:lang w:val="he-IL" w:bidi="he-IL"/>
          <w:sz w:val="32"/>
          <w:rtl/>
          <w:szCs w:val="32"/>
        </w:rPr>
        <w:t xml:space="preserve">      ☐ ב. פורייה</w:t>
      </w:r>
    </w:p>
    <w:p>
      <w:pPr>
        <w:bidi/>
        <w:spacing w:after="20"/>
        <w:jc w:val="right"/>
      </w:pPr>
      <w:r>
        <w:rPr>
          <w:rFonts w:ascii="Arial" w:hAnsi="Arial" w:cs="Arial" w:eastAsia="Arial"/>
          <w:lang w:val="he-IL" w:bidi="he-IL"/>
          <w:sz w:val="32"/>
          <w:rtl/>
          <w:szCs w:val="32"/>
        </w:rPr>
        <w:t xml:space="preserve">      ☐ ג. השעמום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לשון ברמת תיכון: תחביר, בניינים, גזרות ומילות קישור – זיהוי ויישום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הגזרה של הפועל 'זוכרים' במשפט 'רובנו כבר לא זוכרים'?</w:t>
      </w:r>
    </w:p>
    <w:p>
      <w:pPr>
        <w:bidi/>
        <w:spacing w:after="20"/>
        <w:jc w:val="right"/>
      </w:pPr>
      <w:r>
        <w:rPr>
          <w:rFonts w:ascii="Arial" w:hAnsi="Arial" w:cs="Arial" w:eastAsia="Arial"/>
          <w:lang w:val="he-IL" w:bidi="he-IL"/>
          <w:sz w:val="32"/>
          <w:rtl/>
          <w:szCs w:val="32"/>
        </w:rPr>
        <w:t xml:space="preserve">      ☐ א. שלמים</w:t>
      </w:r>
    </w:p>
    <w:p>
      <w:pPr>
        <w:bidi/>
        <w:spacing w:after="20"/>
        <w:jc w:val="right"/>
      </w:pPr>
      <w:r>
        <w:rPr>
          <w:rFonts w:ascii="Arial" w:hAnsi="Arial" w:cs="Arial" w:eastAsia="Arial"/>
          <w:lang w:val="he-IL" w:bidi="he-IL"/>
          <w:sz w:val="32"/>
          <w:rtl/>
          <w:szCs w:val="32"/>
        </w:rPr>
        <w:t xml:space="preserve">      ☐ ב. גזרת פ"י</w:t>
      </w:r>
    </w:p>
    <w:p>
      <w:pPr>
        <w:bidi/>
        <w:spacing w:after="20"/>
        <w:jc w:val="right"/>
      </w:pPr>
      <w:r>
        <w:rPr>
          <w:rFonts w:ascii="Arial" w:hAnsi="Arial" w:cs="Arial" w:eastAsia="Arial"/>
          <w:lang w:val="he-IL" w:bidi="he-IL"/>
          <w:sz w:val="32"/>
          <w:rtl/>
          <w:szCs w:val="32"/>
        </w:rPr>
        <w:t xml:space="preserve">      ☐ ג. גזרת ל"ה</w:t>
      </w:r>
    </w:p>
    <w:p>
      <w:pPr>
        <w:bidi/>
        <w:spacing w:after="20"/>
        <w:jc w:val="right"/>
      </w:pPr>
      <w:r>
        <w:rPr>
          <w:rFonts w:ascii="Arial" w:hAnsi="Arial" w:cs="Arial" w:eastAsia="Arial"/>
          <w:lang w:val="he-IL" w:bidi="he-IL"/>
          <w:b/>
          <w:sz w:val="32"/>
          <w:rtl/>
          <w:szCs w:val="32"/>
          <w:bCs/>
        </w:rPr>
        <w:t>2. איזו מילת קישור מבין הבאות מביעה תנאי?</w:t>
      </w:r>
    </w:p>
    <w:p>
      <w:pPr>
        <w:bidi/>
        <w:spacing w:after="20"/>
        <w:jc w:val="right"/>
      </w:pPr>
      <w:r>
        <w:rPr>
          <w:rFonts w:ascii="Arial" w:hAnsi="Arial" w:cs="Arial" w:eastAsia="Arial"/>
          <w:lang w:val="he-IL" w:bidi="he-IL"/>
          <w:sz w:val="32"/>
          <w:rtl/>
          <w:szCs w:val="32"/>
        </w:rPr>
        <w:t xml:space="preserve">      ☐ א. אם</w:t>
      </w:r>
    </w:p>
    <w:p>
      <w:pPr>
        <w:bidi/>
        <w:spacing w:after="20"/>
        <w:jc w:val="right"/>
      </w:pPr>
      <w:r>
        <w:rPr>
          <w:rFonts w:ascii="Arial" w:hAnsi="Arial" w:cs="Arial" w:eastAsia="Arial"/>
          <w:lang w:val="he-IL" w:bidi="he-IL"/>
          <w:sz w:val="32"/>
          <w:rtl/>
          <w:szCs w:val="32"/>
        </w:rPr>
        <w:t xml:space="preserve">      ☐ ב. לכן</w:t>
      </w:r>
    </w:p>
    <w:p>
      <w:pPr>
        <w:bidi/>
        <w:spacing w:after="20"/>
        <w:jc w:val="right"/>
      </w:pPr>
      <w:r>
        <w:rPr>
          <w:rFonts w:ascii="Arial" w:hAnsi="Arial" w:cs="Arial" w:eastAsia="Arial"/>
          <w:lang w:val="he-IL" w:bidi="he-IL"/>
          <w:sz w:val="32"/>
          <w:rtl/>
          <w:szCs w:val="32"/>
        </w:rPr>
        <w:t xml:space="preserve">      ☐ ג. אולם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לשון ברמת תיכון: תחביר, בניינים, גזרות ומילות קישור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נולדים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התפעל</w:t>
            </w:r>
          </w:p>
        </w:tc>
      </w:tr>
      <w:tr>
        <w:tc>
          <w:tcPr>
            <w:tcW w:type="dxa" w:w="3969"/>
          </w:tcPr>
          <w:p>
            <w:pPr>
              <w:bidi/>
              <w:jc w:val="right"/>
            </w:pPr>
            <w:r>
              <w:rPr>
                <w:rFonts w:ascii="Arial" w:hAnsi="Arial" w:cs="Arial" w:eastAsia="Arial"/>
                <w:lang w:val="he-IL" w:bidi="he-IL"/>
                <w:sz w:val="32"/>
                <w:rtl/>
                <w:szCs w:val="32"/>
              </w:rPr>
              <w:t>2. מזכיר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פיעל</w:t>
            </w:r>
          </w:p>
        </w:tc>
      </w:tr>
      <w:tr>
        <w:tc>
          <w:tcPr>
            <w:tcW w:type="dxa" w:w="3969"/>
          </w:tcPr>
          <w:p>
            <w:pPr>
              <w:bidi/>
              <w:jc w:val="right"/>
            </w:pPr>
            <w:r>
              <w:rPr>
                <w:rFonts w:ascii="Arial" w:hAnsi="Arial" w:cs="Arial" w:eastAsia="Arial"/>
                <w:lang w:val="he-IL" w:bidi="he-IL"/>
                <w:sz w:val="32"/>
                <w:rtl/>
                <w:szCs w:val="32"/>
              </w:rPr>
              <w:t>3. מקבל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נפעל</w:t>
            </w:r>
          </w:p>
        </w:tc>
      </w:tr>
      <w:tr>
        <w:tc>
          <w:tcPr>
            <w:tcW w:type="dxa" w:w="3969"/>
          </w:tcPr>
          <w:p>
            <w:pPr>
              <w:bidi/>
              <w:jc w:val="right"/>
            </w:pPr>
            <w:r>
              <w:rPr>
                <w:rFonts w:ascii="Arial" w:hAnsi="Arial" w:cs="Arial" w:eastAsia="Arial"/>
                <w:lang w:val="he-IL" w:bidi="he-IL"/>
                <w:sz w:val="32"/>
                <w:rtl/>
                <w:szCs w:val="32"/>
              </w:rPr>
              <w:t>4. משתעממים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הפעיל</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לשון ברמת תיכון: תחביר, בניינים, גזרות ומילות קישור – כתיבה ועיבוד</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יצירה וסגנון: חיקוי סגנון ומשלב – זיהוי מאפייני הסגנון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גוף דיבור כתובה הכותבת את המאמר בשבחי השעמום?</w:t>
      </w:r>
    </w:p>
    <w:p>
      <w:pPr>
        <w:bidi/>
        <w:spacing w:after="20"/>
        <w:jc w:val="right"/>
      </w:pPr>
      <w:r>
        <w:rPr>
          <w:rFonts w:ascii="Arial" w:hAnsi="Arial" w:cs="Arial" w:eastAsia="Arial"/>
          <w:lang w:val="he-IL" w:bidi="he-IL"/>
          <w:sz w:val="32"/>
          <w:rtl/>
          <w:szCs w:val="32"/>
        </w:rPr>
        <w:t xml:space="preserve">      ☐ א. גוף ראשון יחיד</w:t>
      </w:r>
    </w:p>
    <w:p>
      <w:pPr>
        <w:bidi/>
        <w:spacing w:after="20"/>
        <w:jc w:val="right"/>
      </w:pPr>
      <w:r>
        <w:rPr>
          <w:rFonts w:ascii="Arial" w:hAnsi="Arial" w:cs="Arial" w:eastAsia="Arial"/>
          <w:lang w:val="he-IL" w:bidi="he-IL"/>
          <w:sz w:val="32"/>
          <w:rtl/>
          <w:szCs w:val="32"/>
        </w:rPr>
        <w:t xml:space="preserve">      ☐ ב. גוף שני רבים</w:t>
      </w:r>
    </w:p>
    <w:p>
      <w:pPr>
        <w:bidi/>
        <w:spacing w:after="20"/>
        <w:jc w:val="right"/>
      </w:pPr>
      <w:r>
        <w:rPr>
          <w:rFonts w:ascii="Arial" w:hAnsi="Arial" w:cs="Arial" w:eastAsia="Arial"/>
          <w:lang w:val="he-IL" w:bidi="he-IL"/>
          <w:sz w:val="32"/>
          <w:rtl/>
          <w:szCs w:val="32"/>
        </w:rPr>
        <w:t xml:space="preserve">      ☐ ג. גוף שלישי יחיד</w:t>
      </w:r>
    </w:p>
    <w:p>
      <w:pPr>
        <w:bidi/>
        <w:spacing w:after="20"/>
        <w:jc w:val="right"/>
      </w:pPr>
      <w:r>
        <w:rPr>
          <w:rFonts w:ascii="Arial" w:hAnsi="Arial" w:cs="Arial" w:eastAsia="Arial"/>
          <w:lang w:val="he-IL" w:bidi="he-IL"/>
          <w:b/>
          <w:sz w:val="32"/>
          <w:rtl/>
          <w:szCs w:val="32"/>
          <w:bCs/>
        </w:rPr>
        <w:t>2. כיצד נפתח המאמר?</w:t>
      </w:r>
    </w:p>
    <w:p>
      <w:pPr>
        <w:bidi/>
        <w:spacing w:after="20"/>
        <w:jc w:val="right"/>
      </w:pPr>
      <w:r>
        <w:rPr>
          <w:rFonts w:ascii="Arial" w:hAnsi="Arial" w:cs="Arial" w:eastAsia="Arial"/>
          <w:lang w:val="he-IL" w:bidi="he-IL"/>
          <w:sz w:val="32"/>
          <w:rtl/>
          <w:szCs w:val="32"/>
        </w:rPr>
        <w:t xml:space="preserve">      ☐ א. בשאלה רטורית לקורא</w:t>
      </w:r>
    </w:p>
    <w:p>
      <w:pPr>
        <w:bidi/>
        <w:spacing w:after="20"/>
        <w:jc w:val="right"/>
      </w:pPr>
      <w:r>
        <w:rPr>
          <w:rFonts w:ascii="Arial" w:hAnsi="Arial" w:cs="Arial" w:eastAsia="Arial"/>
          <w:lang w:val="he-IL" w:bidi="he-IL"/>
          <w:sz w:val="32"/>
          <w:rtl/>
          <w:szCs w:val="32"/>
        </w:rPr>
        <w:t xml:space="preserve">      ☐ ב. בציטוט מחוקר</w:t>
      </w:r>
    </w:p>
    <w:p>
      <w:pPr>
        <w:bidi/>
        <w:spacing w:after="20"/>
        <w:jc w:val="right"/>
      </w:pPr>
      <w:r>
        <w:rPr>
          <w:rFonts w:ascii="Arial" w:hAnsi="Arial" w:cs="Arial" w:eastAsia="Arial"/>
          <w:lang w:val="he-IL" w:bidi="he-IL"/>
          <w:sz w:val="32"/>
          <w:rtl/>
          <w:szCs w:val="32"/>
        </w:rPr>
        <w:t xml:space="preserve">      ☐ ג. בסיפור אישי ארוך</w:t>
      </w:r>
    </w:p>
    <w:p>
      <w:pPr>
        <w:bidi/>
        <w:spacing w:after="20"/>
        <w:jc w:val="right"/>
      </w:pPr>
      <w:r>
        <w:rPr>
          <w:rFonts w:ascii="Arial" w:hAnsi="Arial" w:cs="Arial" w:eastAsia="Arial"/>
          <w:lang w:val="he-IL" w:bidi="he-IL"/>
          <w:b/>
          <w:sz w:val="32"/>
          <w:rtl/>
          <w:szCs w:val="32"/>
          <w:bCs/>
        </w:rPr>
        <w:t>3. אילו מילות קישור משמשות לסידור הטיעונים במאמר?</w:t>
      </w:r>
    </w:p>
    <w:p>
      <w:pPr>
        <w:bidi/>
        <w:spacing w:after="20"/>
        <w:jc w:val="right"/>
      </w:pPr>
      <w:r>
        <w:rPr>
          <w:rFonts w:ascii="Arial" w:hAnsi="Arial" w:cs="Arial" w:eastAsia="Arial"/>
          <w:lang w:val="he-IL" w:bidi="he-IL"/>
          <w:sz w:val="32"/>
          <w:rtl/>
          <w:szCs w:val="32"/>
        </w:rPr>
        <w:t xml:space="preserve">      ☐ א. ראשית, שנית, זאת ועוד, לכן</w:t>
      </w:r>
    </w:p>
    <w:p>
      <w:pPr>
        <w:bidi/>
        <w:spacing w:after="20"/>
        <w:jc w:val="right"/>
      </w:pPr>
      <w:r>
        <w:rPr>
          <w:rFonts w:ascii="Arial" w:hAnsi="Arial" w:cs="Arial" w:eastAsia="Arial"/>
          <w:lang w:val="he-IL" w:bidi="he-IL"/>
          <w:sz w:val="32"/>
          <w:rtl/>
          <w:szCs w:val="32"/>
        </w:rPr>
        <w:t xml:space="preserve">      ☐ ב. אבל, אם, כאשר, אולי</w:t>
      </w:r>
    </w:p>
    <w:p>
      <w:pPr>
        <w:bidi/>
        <w:spacing w:after="20"/>
        <w:jc w:val="right"/>
      </w:pPr>
      <w:r>
        <w:rPr>
          <w:rFonts w:ascii="Arial" w:hAnsi="Arial" w:cs="Arial" w:eastAsia="Arial"/>
          <w:lang w:val="he-IL" w:bidi="he-IL"/>
          <w:sz w:val="32"/>
          <w:rtl/>
          <w:szCs w:val="32"/>
        </w:rPr>
        <w:t xml:space="preserve">      ☐ ג. האם, מדוע, כיצד, מתי</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יצירה וסגנון: חיקוי סגנון ומשלב – ניתוח מילות הקישור והמבנה הטיעוני</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ראשית... שנית... זאת ועוד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הצגת טענה נגדית והפרכתה</w:t>
            </w:r>
          </w:p>
        </w:tc>
      </w:tr>
      <w:tr>
        <w:tc>
          <w:tcPr>
            <w:tcW w:type="dxa" w:w="3969"/>
          </w:tcPr>
          <w:p>
            <w:pPr>
              <w:bidi/>
              <w:jc w:val="right"/>
            </w:pPr>
            <w:r>
              <w:rPr>
                <w:rFonts w:ascii="Arial" w:hAnsi="Arial" w:cs="Arial" w:eastAsia="Arial"/>
                <w:lang w:val="he-IL" w:bidi="he-IL"/>
                <w:sz w:val="32"/>
                <w:rtl/>
                <w:szCs w:val="32"/>
              </w:rPr>
              <w:t>2. יש הטוענים כי... אולם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סידור הטיעונים לפי סדר</w:t>
            </w:r>
          </w:p>
        </w:tc>
      </w:tr>
      <w:tr>
        <w:tc>
          <w:tcPr>
            <w:tcW w:type="dxa" w:w="3969"/>
          </w:tcPr>
          <w:p>
            <w:pPr>
              <w:bidi/>
              <w:jc w:val="right"/>
            </w:pPr>
            <w:r>
              <w:rPr>
                <w:rFonts w:ascii="Arial" w:hAnsi="Arial" w:cs="Arial" w:eastAsia="Arial"/>
                <w:lang w:val="he-IL" w:bidi="he-IL"/>
                <w:sz w:val="32"/>
                <w:rtl/>
                <w:szCs w:val="32"/>
              </w:rPr>
              <w:t>3. לכן אני מציעה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המחשת רעיון באמצעות דוגמה</w:t>
            </w:r>
          </w:p>
        </w:tc>
      </w:tr>
      <w:tr>
        <w:tc>
          <w:tcPr>
            <w:tcW w:type="dxa" w:w="3969"/>
          </w:tcPr>
          <w:p>
            <w:pPr>
              <w:bidi/>
              <w:jc w:val="right"/>
            </w:pPr>
            <w:r>
              <w:rPr>
                <w:rFonts w:ascii="Arial" w:hAnsi="Arial" w:cs="Arial" w:eastAsia="Arial"/>
                <w:lang w:val="he-IL" w:bidi="he-IL"/>
                <w:sz w:val="32"/>
                <w:rtl/>
                <w:szCs w:val="32"/>
              </w:rPr>
              <w:t>4. דימוי הספורטאית שאינה מתאמנת כל הזמן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מעבר למסקנה והצעת פעולה</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יכול/ה לזהות את סוגת הטקסט ולהצדיק זאת בשלושה מאפיינים?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מצליח/ה לאתר טענה מרכזית, ראיה תומכת ודעה נגדית בטקסט טיעוני?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כרטיסיות משימה לטקסט (רמת תיכון)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